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Стоматология общей практики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Стоматология общей практики | Записей: 1 | Кейс: 1 | Вопросов: 12</w:t>
      </w:r>
    </w:p>
    <w:p>
      <w:r>
        <w:br w:type="page"/>
      </w:r>
    </w:p>
    <w:p>
      <w:pPr>
        <w:pStyle w:val="Heading1"/>
      </w:pPr>
      <w:r>
        <w:t>Стоматология общей практики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Стоматология общей практики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Родители с ребенком 11 лет обратились в клинику детской стоматологии.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прорезывание зубов  на верхней и нижней челюсти измененной формы и цвета.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Резцы, клыки и первые моляры прорезались с дефектами. Первые моляры быстро разрушились, были запломбированы.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Рос и развивался по возрасту.</w:t>
      </w:r>
    </w:p>
    <w:p>
      <w:pPr>
        <w:spacing w:after="58"/>
      </w:pPr>
      <w:r>
        <w:rPr>
          <w:b w:val="0"/>
          <w:i w:val="0"/>
        </w:rPr>
        <w:t>* Перенесённые заболевания: в возрасте 6 месяцев ребенку был поставлен диагноз – «острая почечная недостаточность», проводилось лечение в условиях стационара, в настоящее время находится на диспансерном учете у нефролога.</w:t>
      </w:r>
    </w:p>
    <w:p>
      <w:pPr>
        <w:spacing w:after="58"/>
      </w:pPr>
      <w:r>
        <w:rPr>
          <w:b w:val="0"/>
          <w:i w:val="0"/>
        </w:rPr>
        <w:t>* Аллергологический анамнез: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*Внешний осмотр:* конфигурация лица не изменена, открывание рта свободное, региональные лимфоузлы не пальпируются.</w:t>
      </w:r>
    </w:p>
    <w:p>
      <w:pPr>
        <w:spacing w:after="58"/>
      </w:pPr>
      <w:r>
        <w:rPr>
          <w:b w:val="0"/>
          <w:i w:val="0"/>
        </w:rPr>
        <w:t>*Зубная формула:*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29"/>
        <w:gridCol w:w="929"/>
        <w:gridCol w:w="929"/>
        <w:gridCol w:w="929"/>
        <w:gridCol w:w="929"/>
        <w:gridCol w:w="929"/>
        <w:gridCol w:w="929"/>
        <w:gridCol w:w="929"/>
        <w:gridCol w:w="929"/>
        <w:gridCol w:w="929"/>
        <w:gridCol w:w="929"/>
      </w:tblGrid>
      <w:tr>
        <w:tc>
          <w:tcPr>
            <w:tcW w:type="dxa" w:w="929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929"/>
          </w:tcPr>
          <w:p>
            <w:r>
              <w:rPr>
                <w:b/>
                <w:i w:val="0"/>
              </w:rPr>
              <w:t>|П</w:t>
            </w:r>
          </w:p>
        </w:tc>
        <w:tc>
          <w:tcPr>
            <w:tcW w:type="dxa" w:w="929"/>
          </w:tcPr>
          <w:p/>
        </w:tc>
        <w:tc>
          <w:tcPr>
            <w:tcW w:type="dxa" w:w="929"/>
          </w:tcPr>
          <w:p>
            <w:r>
              <w:rPr>
                <w:b/>
                <w:i w:val="0"/>
              </w:rPr>
              <w:t>|</w:t>
            </w:r>
          </w:p>
        </w:tc>
        <w:tc>
          <w:tcPr>
            <w:tcW w:type="dxa" w:w="929"/>
          </w:tcPr>
          <w:p/>
        </w:tc>
        <w:tc>
          <w:tcPr>
            <w:tcW w:type="dxa" w:w="929"/>
          </w:tcPr>
          <w:p>
            <w:r>
              <w:rPr>
                <w:b/>
                <w:i w:val="0"/>
              </w:rPr>
              <w:t>||</w:t>
            </w:r>
          </w:p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>
            <w:r>
              <w:rPr>
                <w:b/>
                <w:i w:val="0"/>
              </w:rPr>
              <w:t>П</w:t>
            </w:r>
          </w:p>
        </w:tc>
        <w:tc>
          <w:tcPr>
            <w:tcW w:type="dxa" w:w="929"/>
          </w:tcPr>
          <w:p/>
        </w:tc>
      </w:tr>
      <w:tr>
        <w:tc>
          <w:tcPr>
            <w:tcW w:type="dxa" w:w="929"/>
          </w:tcPr>
          <w:p/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|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1.6|1.5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1.4|1.3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1.2|1.1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2.1|2.2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2.3|2.4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2.5|2.6||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|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4.6|4.5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4.4|4.3</w:t>
            </w:r>
          </w:p>
        </w:tc>
      </w:tr>
      <w:tr>
        <w:tc>
          <w:tcPr>
            <w:tcW w:type="dxa" w:w="929"/>
          </w:tcPr>
          <w:p>
            <w:r>
              <w:rPr>
                <w:b w:val="0"/>
                <w:i w:val="0"/>
              </w:rPr>
              <w:t>4.2|4.1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3.1|3.2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3.3|3.4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3.5|3.6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|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П|</w:t>
            </w:r>
          </w:p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</w:tr>
      <w:tr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|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П||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===</w:t>
            </w:r>
          </w:p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</w:tr>
    </w:tbl>
    <w:p/>
    <w:p>
      <w:pPr>
        <w:spacing w:after="58"/>
      </w:pPr>
      <w:r>
        <w:rPr>
          <w:b w:val="0"/>
          <w:i w:val="0"/>
        </w:rPr>
        <w:t>*Состояние слизистой оболочки рта, десны, альвеолярных отростков и нёба:* слизистая оболочка бледно-розовая, нормально увлажнена.</w:t>
      </w:r>
    </w:p>
    <w:p>
      <w:pPr>
        <w:spacing w:after="58"/>
      </w:pPr>
      <w:r>
        <w:rPr>
          <w:b w:val="0"/>
          <w:i w:val="0"/>
        </w:rPr>
        <w:t>*Прикус:* постоянный.</w:t>
      </w:r>
    </w:p>
    <w:p>
      <w:pPr>
        <w:spacing w:after="58"/>
      </w:pPr>
      <w:r>
        <w:rPr>
          <w:b w:val="0"/>
          <w:i w:val="0"/>
        </w:rPr>
        <w:t>*Локальный статус:*</w:t>
      </w:r>
    </w:p>
    <w:p>
      <w:r>
        <w:drawing>
          <wp:inline xmlns:a="http://schemas.openxmlformats.org/drawingml/2006/main" xmlns:pic="http://schemas.openxmlformats.org/drawingml/2006/picture">
            <wp:extent cx="5303520" cy="299648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8b76ac2cd774721e658c2fe13f1a97b783f100ac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99648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таболова5_01.11_рис.1.jpg</w:t>
      </w:r>
    </w:p>
    <w:p>
      <w:r>
        <w:drawing>
          <wp:inline xmlns:a="http://schemas.openxmlformats.org/drawingml/2006/main" xmlns:pic="http://schemas.openxmlformats.org/drawingml/2006/picture">
            <wp:extent cx="5303520" cy="3016377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7335e707e2af491f053ba0f70165f7e4ac233086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0163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таболова5_01.11_рис.2.jpg</w:t>
      </w:r>
    </w:p>
    <w:p>
      <w:pPr>
        <w:spacing w:after="58"/>
      </w:pPr>
      <w:r>
        <w:rPr>
          <w:b w:val="0"/>
          <w:i w:val="0"/>
        </w:rPr>
        <w:t>При зондировании на вестибулярной поверхности верхних и нижних резцов и клыков отмечается дефекты в виде широкой борозды, дно дефектов плотное. На клыках в самых глубоких участках дефекта отмечается болезненность при зондировании.</w:t>
      </w:r>
    </w:p>
    <w:p>
      <w:pPr>
        <w:pStyle w:val="Heading2"/>
      </w:pPr>
      <w:r>
        <w:t>1. Диагноз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Основным диагнозом у данного пациента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Местная гипоплазия эмали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Системная гипоплазия эмали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Эндемический флюороз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Несовершенный амелогенез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Системная гипоплазия эмали</w:t>
      </w:r>
    </w:p>
    <w:p>
      <w:pPr>
        <w:ind w:left="504"/>
      </w:pPr>
      <w:r>
        <w:rPr>
          <w:b w:val="0"/>
          <w:i/>
        </w:rPr>
        <w:t>Диагноз поставлен на основании анамнеза и  клинических данных.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Диагноз</w:t>
      </w:r>
    </w:p>
    <w:p>
      <w:pPr>
        <w:spacing w:after="58"/>
      </w:pPr>
      <w:r>
        <w:rPr>
          <w:b w:val="0"/>
          <w:i w:val="0"/>
        </w:rPr>
        <w:t>K00.4 Системная гипоплазия эмали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К причине развития поражения зубов у данного пациента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болезни матери в I половине беременности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болезни матери в II половине беременности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генетические факторы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заболевание ребенка в первые годы жизни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заболевание ребенка в первые годы жизни</w:t>
      </w:r>
    </w:p>
    <w:p>
      <w:pPr>
        <w:ind w:left="504"/>
      </w:pPr>
      <w:r>
        <w:rPr>
          <w:b w:val="0"/>
          <w:i/>
        </w:rPr>
        <w:t>Данные порок развивается при различных заболеваниях, возникших у детей в период минерализации и созревания этих зубов.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По полученным данным клинического обследования данная форма системной гипоплазии эмали соответствует +______+ форме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бороздчатой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эрозивной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волнистой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пятнистой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эрозивной</w:t>
      </w:r>
    </w:p>
    <w:p>
      <w:pPr>
        <w:ind w:left="504"/>
      </w:pPr>
      <w:r>
        <w:rPr>
          <w:b w:val="0"/>
          <w:i/>
        </w:rPr>
        <w:t>Для эрозивной формы характерны чашеобразные углубления, располагаются они на зубах одного периода минерализации, имеют одинаковые размер и форму. На дне углублений эмаль истончена, просвечивается дентин, дно и стенки дефекта гладкие.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Дифференциальную диагностику эрозивной формы системной гипоплазии эмали проводят с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эрозивной формой эндемического флюороза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кариесом в стадии пятна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травматическим повреждением зубов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несовершенным дентиногенезом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эрозивной формой эндемического флюороза</w:t>
      </w:r>
    </w:p>
    <w:p>
      <w:pPr>
        <w:ind w:left="504"/>
      </w:pPr>
      <w:r>
        <w:rPr>
          <w:b w:val="0"/>
          <w:i/>
        </w:rPr>
        <w:t>Дифференциальную диагностику эрозивной формы системной гипоплазии эмали проводят с эрозивной формой эндемического флюороза.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Метод лечения зубов у данного пациента заключается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аппликациях диамин-фторида серебра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реставрации композитными материалами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удалении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проведении микроабразии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реставрации композитными материалами</w:t>
      </w:r>
    </w:p>
    <w:p>
      <w:pPr>
        <w:ind w:left="504"/>
      </w:pPr>
      <w:r>
        <w:rPr>
          <w:b w:val="0"/>
          <w:i/>
        </w:rPr>
        <w:t>После завершения формирования зубочелюстной системы проводится эстетическая реставрация гипоплазированных зубов композитными пломбировочными материалами.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При пломбировании кариозной полости композитными материалами обязательным этапом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обработка дентин-кондиционером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нанесение адгезивной системы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обработка диаминфторидом серебра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нанесение защитного лака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нанесение адгезивной системы</w:t>
      </w:r>
    </w:p>
    <w:p>
      <w:pPr>
        <w:ind w:left="504"/>
      </w:pPr>
      <w:r>
        <w:rPr>
          <w:b w:val="0"/>
          <w:i/>
        </w:rPr>
        <w:t>При пломбировании кариозной полости композитными материалами обязательным этапом является нанесение адгезивной системы.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Гибридные композитные материалы можно вносить послойно  в кариозную полость толщиной не более (в мм)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0,5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</w:t>
      </w:r>
    </w:p>
    <w:p>
      <w:pPr>
        <w:ind w:left="504"/>
      </w:pPr>
      <w:r>
        <w:rPr>
          <w:b w:val="0"/>
          <w:i/>
        </w:rPr>
        <w:t>Классическая толщина слоя композитного материала – 2 мм.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Комплексное патогенетическое лечение пациентов с системной гипоплазией эмали включает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применение иммуномодуляторов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аппликации диаминфторида серебра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реминерализирующую терапию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применение антисептических полосканий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реминерализирующую терапию</w:t>
      </w:r>
    </w:p>
    <w:p>
      <w:pPr>
        <w:ind w:left="504"/>
      </w:pPr>
      <w:r>
        <w:rPr>
          <w:b w:val="0"/>
          <w:i/>
        </w:rPr>
        <w:t>Комплексное патогенетическое лечение пациентов с системной гипоплазией эмали включает реминерализирующую терапию.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Местная терапия при системной гипоплазии эмали включает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аппликации фторидсодежащих лаков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антисептические полоскания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метод инфильтрации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аппликации диаминфторида серебра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аппликации фторидсодежащих лаков</w:t>
      </w:r>
    </w:p>
    <w:p>
      <w:pPr>
        <w:ind w:left="504"/>
      </w:pPr>
      <w:r>
        <w:rPr>
          <w:b w:val="0"/>
          <w:i/>
        </w:rPr>
        <w:t>В рамках местной патогенетической терапии проводятся аппликации фтористых лаков и гелей.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Для пломбирования дефектов при эрозивной форме системной гипоплазии эмали постоянных зубов сразу после прорезывания предпочтительно использовать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цинк-оксид-эвгеноловый цемент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цинк-фосфатный цемент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стеклоиономерные цементы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силикатные цементы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стеклоиономерные цементы</w:t>
      </w:r>
    </w:p>
    <w:p>
      <w:pPr>
        <w:ind w:left="504"/>
      </w:pPr>
      <w:r>
        <w:rPr>
          <w:b w:val="0"/>
          <w:i/>
        </w:rPr>
        <w:t>Для пломбирования дефектов при эрозивной форме системной гипоплазии эмали постоянных зубов сразу после прорезывания предпочтительно использовать стеклоиономерные цементы.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Для проведения ежедневной гигиены полости рта данному пациенту рекомендуется зубная паста +______________+ фторида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без содержания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содержащая 1450 ppm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содержащая 5000 ppm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содержащая 500 ppm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содержащая 1450 ppm</w:t>
      </w:r>
    </w:p>
    <w:p>
      <w:pPr>
        <w:ind w:left="504"/>
      </w:pPr>
      <w:r>
        <w:rPr>
          <w:b w:val="0"/>
          <w:i/>
        </w:rPr>
        <w:t>Детям школьного возраста рекомендуется использовать зубные пасты, содержащие 1450 ppm фторида.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К мерам профилактики системной гипоплазии эмали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профилактику и лечение соматической патологии у беременных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профилактику и своевременное лечение инфекционных заболеваний у ребенка в первые годы жизни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своевременное лечение кариеса и его осложнений временных зубов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профилактику и лечение инфекционных заболеваний у беременных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профилактику и своевременное лечение инфекционных заболеваний у ребенка в первые годы жизни</w:t>
      </w:r>
    </w:p>
    <w:p>
      <w:pPr>
        <w:ind w:left="504"/>
      </w:pPr>
      <w:r>
        <w:rPr>
          <w:b w:val="0"/>
          <w:i/>
        </w:rPr>
        <w:t>К мерам профилактики системной гипоплазии эмали можно отнести профилактику и своевременное лечение инфекционных заболеваний у ребенка в первые годы жизни.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jpg"/><Relationship Id="rId10" Type="http://schemas.openxmlformats.org/officeDocument/2006/relationships/image" Target="media/image2.jpg"/><Relationship Id="rId11" Type="http://schemas.openxmlformats.org/officeDocument/2006/relationships/hyperlink" Target="https://library.mededtech.ru/rest/documents/ISBN9785970461730/?anchor=paragraph_u311nc#paragraph_u311nc" TargetMode="External"/><Relationship Id="rId12" Type="http://schemas.openxmlformats.org/officeDocument/2006/relationships/hyperlink" Target="https://library.mededtech.ru/rest/documents/ISBN9785970461730/?anchor=paragraph_84snv1#paragraph_84snv1" TargetMode="External"/><Relationship Id="rId13" Type="http://schemas.openxmlformats.org/officeDocument/2006/relationships/hyperlink" Target="https://library.mededtech.ru/rest/documents/ISBN9785970461730/?anchor=paragraph_pupnl5#paragraph_pupnl5" TargetMode="External"/><Relationship Id="rId14" Type="http://schemas.openxmlformats.org/officeDocument/2006/relationships/hyperlink" Target="https://library.mededtech.ru/rest/documents/ISBN9785970461730/?anchor=table24-3#table24-3" TargetMode="External"/><Relationship Id="rId15" Type="http://schemas.openxmlformats.org/officeDocument/2006/relationships/hyperlink" Target="https://library.mededtech.ru/rest/documents/ISBN9785970461730/?anchor=paragraph_5hj769#paragraph_5hj769" TargetMode="External"/><Relationship Id="rId16" Type="http://schemas.openxmlformats.org/officeDocument/2006/relationships/hyperlink" Target="https://library.mededtech.ru/rest/documents/ISBN9785970461730/?anchor=paragraph_9pl6fk#paragraph_9pl6fk" TargetMode="External"/><Relationship Id="rId17" Type="http://schemas.openxmlformats.org/officeDocument/2006/relationships/hyperlink" Target="https://library.mededtech.ru/rest/documents/ISBN9785970461730/?anchor=paragraph_c0qk7q#paragraph_c0qk7q" TargetMode="External"/><Relationship Id="rId18" Type="http://schemas.openxmlformats.org/officeDocument/2006/relationships/hyperlink" Target="https://library.mededtech.ru/rest/documents/ISBN9785970461730/?anchor=paragraph_jal2pc#paragraph_jal2pc" TargetMode="External"/><Relationship Id="rId19" Type="http://schemas.openxmlformats.org/officeDocument/2006/relationships/hyperlink" Target="https://library.mededtech.ru/rest/documents/ISBN9785970461730/?anchor=paragraph_fui7s7#paragraph_fui7s7" TargetMode="External"/><Relationship Id="rId20" Type="http://schemas.openxmlformats.org/officeDocument/2006/relationships/hyperlink" Target="https://library.mededtech.ru/rest/documents/ISBN9785970461730/?anchor=list_item_7e578a#list_item_7e578a" TargetMode="External"/><Relationship Id="rId21" Type="http://schemas.openxmlformats.org/officeDocument/2006/relationships/hyperlink" Target="https://library.mededtech.ru/rest/documents/ISBN9785970461730/?anchor=list_item_ihjj14#list_item_ihjj14" TargetMode="External"/><Relationship Id="rId22" Type="http://schemas.openxmlformats.org/officeDocument/2006/relationships/hyperlink" Target="https://library.mededtech.ru/rest/documents/ISBN9785970461730/?anchor=list_item_k7s3hl#list_item_k7s3h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